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B20C85">
        <w:rPr>
          <w:rFonts w:ascii="宋体" w:hAnsi="宋体" w:cs="宋体"/>
          <w:color w:val="000000"/>
          <w:sz w:val="32"/>
          <w:szCs w:val="32"/>
          <w:lang w:val="zh-CN"/>
        </w:rPr>
        <w:t>1</w:t>
      </w:r>
      <w:r>
        <w:rPr>
          <w:rFonts w:ascii="宋体" w:hAnsi="宋体" w:cs="宋体" w:hint="eastAsia"/>
          <w:color w:val="000000"/>
          <w:sz w:val="32"/>
          <w:szCs w:val="32"/>
          <w:lang w:val="zh-CN"/>
        </w:rPr>
        <w:t>期（总第</w:t>
      </w:r>
      <w:r w:rsidR="003A017A">
        <w:rPr>
          <w:rFonts w:ascii="宋体" w:hAnsi="宋体" w:cs="宋体" w:hint="eastAsia"/>
          <w:color w:val="000000"/>
          <w:sz w:val="32"/>
          <w:szCs w:val="32"/>
          <w:lang w:val="zh-CN"/>
        </w:rPr>
        <w:t>87</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w:t>
      </w:r>
      <w:r w:rsidR="003A017A">
        <w:rPr>
          <w:rFonts w:ascii="仿宋" w:eastAsia="仿宋" w:hAnsi="仿宋" w:hint="eastAsia"/>
          <w:color w:val="000000"/>
          <w:sz w:val="28"/>
          <w:szCs w:val="28"/>
        </w:rPr>
        <w:t>9</w:t>
      </w:r>
      <w:r w:rsidR="00196E6C" w:rsidRPr="00FA5BB3">
        <w:rPr>
          <w:rFonts w:ascii="仿宋" w:eastAsia="仿宋" w:hAnsi="仿宋" w:hint="eastAsia"/>
          <w:color w:val="000000"/>
          <w:sz w:val="28"/>
          <w:szCs w:val="28"/>
        </w:rPr>
        <w:t>年</w:t>
      </w:r>
      <w:r w:rsidR="00D8600C">
        <w:rPr>
          <w:rFonts w:ascii="仿宋" w:eastAsia="仿宋" w:hAnsi="仿宋"/>
          <w:color w:val="000000"/>
          <w:sz w:val="28"/>
          <w:szCs w:val="28"/>
        </w:rPr>
        <w:t>1</w:t>
      </w:r>
      <w:r w:rsidR="00E05B75">
        <w:rPr>
          <w:rFonts w:ascii="仿宋" w:eastAsia="仿宋" w:hAnsi="仿宋" w:hint="eastAsia"/>
          <w:color w:val="000000"/>
          <w:sz w:val="28"/>
          <w:szCs w:val="28"/>
        </w:rPr>
        <w:t>月</w:t>
      </w:r>
      <w:r w:rsidR="00B20C85">
        <w:rPr>
          <w:rFonts w:ascii="仿宋" w:eastAsia="仿宋" w:hAnsi="仿宋"/>
          <w:color w:val="000000"/>
          <w:sz w:val="28"/>
          <w:szCs w:val="28"/>
        </w:rPr>
        <w:t>14</w:t>
      </w:r>
      <w:r w:rsidR="00E05B75">
        <w:rPr>
          <w:rFonts w:ascii="仿宋" w:eastAsia="仿宋" w:hAnsi="仿宋" w:hint="eastAsia"/>
          <w:color w:val="000000"/>
          <w:sz w:val="28"/>
          <w:szCs w:val="28"/>
        </w:rPr>
        <w:t>日</w:t>
      </w:r>
    </w:p>
    <w:p w:rsidR="00196E6C" w:rsidRDefault="00C6599A" w:rsidP="00196E6C">
      <w:pPr>
        <w:jc w:val="center"/>
        <w:rPr>
          <w:rFonts w:ascii="宋体" w:hAnsi="宋体"/>
          <w:b/>
          <w:sz w:val="44"/>
          <w:szCs w:val="44"/>
        </w:rPr>
      </w:pPr>
      <w:r w:rsidRPr="00C6599A">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B20C85">
        <w:rPr>
          <w:rFonts w:ascii="楷体_GB2312" w:eastAsia="楷体_GB2312" w:hAnsi="宋体" w:hint="eastAsia"/>
          <w:sz w:val="32"/>
          <w:szCs w:val="32"/>
        </w:rPr>
        <w:t>201</w:t>
      </w:r>
      <w:r w:rsidR="003A017A">
        <w:rPr>
          <w:rFonts w:ascii="楷体_GB2312" w:eastAsia="楷体_GB2312" w:hAnsi="宋体" w:hint="eastAsia"/>
          <w:sz w:val="32"/>
          <w:szCs w:val="32"/>
        </w:rPr>
        <w:t>9</w:t>
      </w:r>
      <w:r w:rsidR="00B20C85">
        <w:rPr>
          <w:rFonts w:ascii="楷体_GB2312" w:eastAsia="楷体_GB2312" w:hAnsi="宋体" w:hint="eastAsia"/>
          <w:sz w:val="32"/>
          <w:szCs w:val="32"/>
        </w:rPr>
        <w:t>年1月7日至2019年1月13日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B20C85"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w:t>
      </w:r>
      <w:r w:rsidR="003A017A">
        <w:rPr>
          <w:rFonts w:ascii="仿宋" w:eastAsia="仿宋" w:hAnsi="仿宋" w:cs="楷体_GB2312" w:hint="eastAsia"/>
          <w:sz w:val="32"/>
          <w:szCs w:val="32"/>
          <w:lang w:val="zh-CN"/>
        </w:rPr>
        <w:t>9</w:t>
      </w:r>
      <w:r>
        <w:rPr>
          <w:rFonts w:ascii="仿宋" w:eastAsia="仿宋" w:hAnsi="仿宋" w:cs="楷体_GB2312" w:hint="eastAsia"/>
          <w:sz w:val="32"/>
          <w:szCs w:val="32"/>
          <w:lang w:val="zh-CN"/>
        </w:rPr>
        <w:t>年1月7日至2019年1月13日</w:t>
      </w:r>
      <w:r w:rsidR="0004228E" w:rsidRPr="00FA5BB3">
        <w:rPr>
          <w:rFonts w:ascii="仿宋" w:eastAsia="仿宋" w:hAnsi="仿宋" w:cs="楷体_GB2312" w:hint="eastAsia"/>
          <w:sz w:val="32"/>
          <w:szCs w:val="32"/>
          <w:lang w:val="zh-CN"/>
        </w:rPr>
        <w:t>期间。全市天气以</w:t>
      </w:r>
      <w:r w:rsidR="008378FF">
        <w:rPr>
          <w:rFonts w:ascii="仿宋" w:eastAsia="仿宋" w:hAnsi="仿宋" w:cs="楷体_GB2312" w:hint="eastAsia"/>
          <w:sz w:val="32"/>
          <w:szCs w:val="32"/>
          <w:lang w:val="zh-CN"/>
        </w:rPr>
        <w:t>雨</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D8600C">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B20C85">
        <w:rPr>
          <w:rFonts w:ascii="仿宋" w:eastAsia="仿宋" w:hAnsi="仿宋" w:cs="仿宋_GB2312" w:hint="eastAsia"/>
          <w:sz w:val="32"/>
          <w:szCs w:val="32"/>
          <w:lang w:val="zh-CN"/>
        </w:rPr>
        <w:t>201</w:t>
      </w:r>
      <w:r w:rsidR="003A017A">
        <w:rPr>
          <w:rFonts w:ascii="仿宋" w:eastAsia="仿宋" w:hAnsi="仿宋" w:cs="仿宋_GB2312" w:hint="eastAsia"/>
          <w:sz w:val="32"/>
          <w:szCs w:val="32"/>
          <w:lang w:val="zh-CN"/>
        </w:rPr>
        <w:t>9</w:t>
      </w:r>
      <w:r w:rsidR="00B20C85">
        <w:rPr>
          <w:rFonts w:ascii="仿宋" w:eastAsia="仿宋" w:hAnsi="仿宋" w:cs="仿宋_GB2312" w:hint="eastAsia"/>
          <w:sz w:val="32"/>
          <w:szCs w:val="32"/>
          <w:lang w:val="zh-CN"/>
        </w:rPr>
        <w:t>年1月7日至2019年1月13日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Pr>
          <w:rFonts w:ascii="仿宋" w:eastAsia="仿宋" w:hAnsi="仿宋" w:cs="仿宋_GB2312" w:hint="eastAsia"/>
          <w:sz w:val="32"/>
          <w:szCs w:val="32"/>
          <w:lang w:val="zh-CN"/>
        </w:rPr>
        <w:t>1</w:t>
      </w:r>
      <w:r w:rsidR="002F3966">
        <w:rPr>
          <w:rFonts w:ascii="仿宋" w:eastAsia="仿宋" w:hAnsi="仿宋" w:cs="仿宋_GB2312"/>
          <w:sz w:val="32"/>
          <w:szCs w:val="32"/>
          <w:lang w:val="zh-CN"/>
        </w:rPr>
        <w:t>3127</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2F3966">
        <w:rPr>
          <w:rFonts w:ascii="仿宋" w:eastAsia="仿宋" w:hAnsi="仿宋" w:cs="仿宋_GB2312"/>
          <w:sz w:val="32"/>
          <w:szCs w:val="32"/>
          <w:lang w:val="zh-CN"/>
        </w:rPr>
        <w:t>7.1</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F27105">
        <w:rPr>
          <w:rFonts w:ascii="仿宋" w:eastAsia="仿宋" w:hAnsi="仿宋" w:cs="仿宋_GB2312"/>
          <w:sz w:val="32"/>
          <w:szCs w:val="32"/>
          <w:lang w:val="zh-CN"/>
        </w:rPr>
        <w:t>9</w:t>
      </w:r>
      <w:r w:rsidR="002F3966">
        <w:rPr>
          <w:rFonts w:ascii="仿宋" w:eastAsia="仿宋" w:hAnsi="仿宋" w:cs="仿宋_GB2312"/>
          <w:sz w:val="32"/>
          <w:szCs w:val="32"/>
          <w:lang w:val="zh-CN"/>
        </w:rPr>
        <w:t>625</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、2</w:t>
      </w:r>
      <w:r w:rsidR="002F3966">
        <w:rPr>
          <w:rFonts w:ascii="仿宋" w:eastAsia="仿宋" w:hAnsi="仿宋" w:cs="仿宋_GB2312"/>
          <w:sz w:val="32"/>
          <w:szCs w:val="32"/>
          <w:lang w:val="zh-CN"/>
        </w:rPr>
        <w:t>5220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9</w:t>
      </w:r>
      <w:r w:rsidR="002F3966">
        <w:rPr>
          <w:rFonts w:ascii="仿宋" w:eastAsia="仿宋" w:hAnsi="仿宋" w:cs="仿宋_GB2312"/>
          <w:sz w:val="32"/>
          <w:szCs w:val="32"/>
          <w:lang w:val="zh-CN"/>
        </w:rPr>
        <w:t>799</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F64113">
        <w:rPr>
          <w:rFonts w:ascii="仿宋" w:eastAsia="仿宋" w:hAnsi="仿宋" w:cs="仿宋_GB2312"/>
          <w:sz w:val="32"/>
          <w:szCs w:val="32"/>
          <w:lang w:val="zh-CN"/>
        </w:rPr>
        <w:t>1</w:t>
      </w:r>
      <w:r w:rsidR="00122EBE">
        <w:rPr>
          <w:rFonts w:ascii="仿宋" w:eastAsia="仿宋" w:hAnsi="仿宋" w:cs="仿宋_GB2312"/>
          <w:sz w:val="32"/>
          <w:szCs w:val="32"/>
          <w:lang w:val="zh-CN"/>
        </w:rPr>
        <w:t>1</w:t>
      </w:r>
      <w:r w:rsidR="002F3966">
        <w:rPr>
          <w:rFonts w:ascii="仿宋" w:eastAsia="仿宋" w:hAnsi="仿宋" w:cs="仿宋_GB2312"/>
          <w:sz w:val="32"/>
          <w:szCs w:val="32"/>
          <w:lang w:val="zh-CN"/>
        </w:rPr>
        <w:t>669</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9947BD">
        <w:rPr>
          <w:rFonts w:ascii="仿宋" w:eastAsia="仿宋" w:hAnsi="仿宋" w:cs="仿宋_GB2312"/>
          <w:sz w:val="32"/>
          <w:szCs w:val="32"/>
          <w:lang w:val="zh-CN"/>
        </w:rPr>
        <w:t>-</w:t>
      </w:r>
      <w:r w:rsidR="00122EBE">
        <w:rPr>
          <w:rFonts w:ascii="仿宋" w:eastAsia="仿宋" w:hAnsi="仿宋" w:cs="仿宋_GB2312"/>
          <w:sz w:val="32"/>
          <w:szCs w:val="32"/>
          <w:lang w:val="zh-CN"/>
        </w:rPr>
        <w:t>1</w:t>
      </w:r>
      <w:r w:rsidR="009947BD">
        <w:rPr>
          <w:rFonts w:ascii="仿宋" w:eastAsia="仿宋" w:hAnsi="仿宋" w:cs="仿宋_GB2312"/>
          <w:sz w:val="32"/>
          <w:szCs w:val="32"/>
          <w:lang w:val="zh-CN"/>
        </w:rPr>
        <w:t>.</w:t>
      </w:r>
      <w:r w:rsidR="002F3966">
        <w:rPr>
          <w:rFonts w:ascii="仿宋" w:eastAsia="仿宋" w:hAnsi="仿宋" w:cs="仿宋_GB2312"/>
          <w:sz w:val="32"/>
          <w:szCs w:val="32"/>
          <w:lang w:val="zh-CN"/>
        </w:rPr>
        <w:t>9</w:t>
      </w:r>
      <w:r>
        <w:rPr>
          <w:rFonts w:ascii="仿宋" w:eastAsia="仿宋" w:hAnsi="仿宋" w:cs="仿宋_GB2312" w:hint="eastAsia"/>
          <w:sz w:val="32"/>
          <w:szCs w:val="32"/>
          <w:lang w:val="zh-CN"/>
        </w:rPr>
        <w:t>%、</w:t>
      </w:r>
      <w:r w:rsidR="002F3966">
        <w:rPr>
          <w:rFonts w:ascii="仿宋" w:eastAsia="仿宋" w:hAnsi="仿宋" w:cs="仿宋_GB2312"/>
          <w:sz w:val="32"/>
          <w:szCs w:val="32"/>
          <w:lang w:val="zh-CN"/>
        </w:rPr>
        <w:t>4</w:t>
      </w:r>
      <w:r w:rsidR="008533A0">
        <w:rPr>
          <w:rFonts w:ascii="仿宋" w:eastAsia="仿宋" w:hAnsi="仿宋" w:cs="仿宋_GB2312"/>
          <w:sz w:val="32"/>
          <w:szCs w:val="32"/>
          <w:lang w:val="zh-CN"/>
        </w:rPr>
        <w:t>.</w:t>
      </w:r>
      <w:r w:rsidR="002F3966">
        <w:rPr>
          <w:rFonts w:ascii="仿宋" w:eastAsia="仿宋" w:hAnsi="仿宋" w:cs="仿宋_GB2312"/>
          <w:sz w:val="32"/>
          <w:szCs w:val="32"/>
          <w:lang w:val="zh-CN"/>
        </w:rPr>
        <w:t>0</w:t>
      </w:r>
      <w:r>
        <w:rPr>
          <w:rFonts w:ascii="仿宋" w:eastAsia="仿宋" w:hAnsi="仿宋" w:cs="仿宋_GB2312" w:hint="eastAsia"/>
          <w:sz w:val="32"/>
          <w:szCs w:val="32"/>
          <w:lang w:val="zh-CN"/>
        </w:rPr>
        <w:t>%、</w:t>
      </w:r>
      <w:r w:rsidR="002F3966">
        <w:rPr>
          <w:rFonts w:ascii="仿宋" w:eastAsia="仿宋" w:hAnsi="仿宋" w:cs="仿宋_GB2312"/>
          <w:sz w:val="32"/>
          <w:szCs w:val="32"/>
          <w:lang w:val="zh-CN"/>
        </w:rPr>
        <w:t>1</w:t>
      </w:r>
      <w:r w:rsidR="008533A0">
        <w:rPr>
          <w:rFonts w:ascii="仿宋" w:eastAsia="仿宋" w:hAnsi="仿宋" w:cs="仿宋_GB2312"/>
          <w:sz w:val="32"/>
          <w:szCs w:val="32"/>
          <w:lang w:val="zh-CN"/>
        </w:rPr>
        <w:t>.</w:t>
      </w:r>
      <w:r w:rsidR="002F3966">
        <w:rPr>
          <w:rFonts w:ascii="仿宋" w:eastAsia="仿宋" w:hAnsi="仿宋" w:cs="仿宋_GB2312"/>
          <w:sz w:val="32"/>
          <w:szCs w:val="32"/>
          <w:lang w:val="zh-CN"/>
        </w:rPr>
        <w:t>1</w:t>
      </w:r>
      <w:r>
        <w:rPr>
          <w:rFonts w:ascii="仿宋" w:eastAsia="仿宋" w:hAnsi="仿宋" w:cs="仿宋_GB2312" w:hint="eastAsia"/>
          <w:sz w:val="32"/>
          <w:szCs w:val="32"/>
          <w:lang w:val="zh-CN"/>
        </w:rPr>
        <w:t>%、</w:t>
      </w:r>
      <w:r w:rsidR="002F3966">
        <w:rPr>
          <w:rFonts w:ascii="仿宋" w:eastAsia="仿宋" w:hAnsi="仿宋" w:cs="仿宋_GB2312"/>
          <w:sz w:val="32"/>
          <w:szCs w:val="32"/>
          <w:lang w:val="zh-CN"/>
        </w:rPr>
        <w:t>3</w:t>
      </w:r>
      <w:r w:rsidR="00122EBE">
        <w:rPr>
          <w:rFonts w:ascii="仿宋" w:eastAsia="仿宋" w:hAnsi="仿宋" w:cs="仿宋_GB2312"/>
          <w:sz w:val="32"/>
          <w:szCs w:val="32"/>
          <w:lang w:val="zh-CN"/>
        </w:rPr>
        <w:t>.</w:t>
      </w:r>
      <w:r w:rsidR="002F3966">
        <w:rPr>
          <w:rFonts w:ascii="仿宋" w:eastAsia="仿宋" w:hAnsi="仿宋" w:cs="仿宋_GB2312"/>
          <w:sz w:val="32"/>
          <w:szCs w:val="32"/>
          <w:lang w:val="zh-CN"/>
        </w:rPr>
        <w:t>5</w:t>
      </w:r>
      <w:r>
        <w:rPr>
          <w:rFonts w:ascii="仿宋" w:eastAsia="仿宋" w:hAnsi="仿宋" w:cs="仿宋_GB2312" w:hint="eastAsia"/>
          <w:sz w:val="32"/>
          <w:szCs w:val="32"/>
          <w:lang w:val="zh-CN"/>
        </w:rPr>
        <w:t>%；货车占比分别为</w:t>
      </w:r>
      <w:r w:rsidR="008C0C5A">
        <w:rPr>
          <w:rFonts w:ascii="仿宋" w:eastAsia="仿宋" w:hAnsi="仿宋" w:cs="仿宋_GB2312"/>
          <w:sz w:val="32"/>
          <w:szCs w:val="32"/>
          <w:lang w:val="zh-CN"/>
        </w:rPr>
        <w:t>2</w:t>
      </w:r>
      <w:r w:rsidR="002F3966">
        <w:rPr>
          <w:rFonts w:ascii="仿宋" w:eastAsia="仿宋" w:hAnsi="仿宋" w:cs="仿宋_GB2312"/>
          <w:sz w:val="32"/>
          <w:szCs w:val="32"/>
          <w:lang w:val="zh-CN"/>
        </w:rPr>
        <w:t>8</w:t>
      </w:r>
      <w:r w:rsidR="00122EBE">
        <w:rPr>
          <w:rFonts w:ascii="仿宋" w:eastAsia="仿宋" w:hAnsi="仿宋" w:cs="仿宋_GB2312"/>
          <w:sz w:val="32"/>
          <w:szCs w:val="32"/>
          <w:lang w:val="zh-CN"/>
        </w:rPr>
        <w:t>.</w:t>
      </w:r>
      <w:r w:rsidR="002F3966">
        <w:rPr>
          <w:rFonts w:ascii="仿宋" w:eastAsia="仿宋" w:hAnsi="仿宋" w:cs="仿宋_GB2312"/>
          <w:sz w:val="32"/>
          <w:szCs w:val="32"/>
          <w:lang w:val="zh-CN"/>
        </w:rPr>
        <w:t>2</w:t>
      </w:r>
      <w:r>
        <w:rPr>
          <w:rFonts w:ascii="仿宋" w:eastAsia="仿宋" w:hAnsi="仿宋" w:cs="仿宋_GB2312" w:hint="eastAsia"/>
          <w:sz w:val="32"/>
          <w:szCs w:val="32"/>
          <w:lang w:val="zh-CN"/>
        </w:rPr>
        <w:t>%、</w:t>
      </w:r>
      <w:r w:rsidR="001D506A">
        <w:rPr>
          <w:rFonts w:ascii="仿宋" w:eastAsia="仿宋" w:hAnsi="仿宋" w:cs="仿宋_GB2312"/>
          <w:sz w:val="32"/>
          <w:szCs w:val="32"/>
          <w:lang w:val="zh-CN"/>
        </w:rPr>
        <w:t>3</w:t>
      </w:r>
      <w:r w:rsidR="002F3966">
        <w:rPr>
          <w:rFonts w:ascii="仿宋" w:eastAsia="仿宋" w:hAnsi="仿宋" w:cs="仿宋_GB2312"/>
          <w:sz w:val="32"/>
          <w:szCs w:val="32"/>
          <w:lang w:val="zh-CN"/>
        </w:rPr>
        <w:t>6</w:t>
      </w:r>
      <w:r w:rsidR="001D506A">
        <w:rPr>
          <w:rFonts w:ascii="仿宋" w:eastAsia="仿宋" w:hAnsi="仿宋" w:cs="仿宋_GB2312"/>
          <w:sz w:val="32"/>
          <w:szCs w:val="32"/>
          <w:lang w:val="zh-CN"/>
        </w:rPr>
        <w:t>.</w:t>
      </w:r>
      <w:r w:rsidR="002F3966">
        <w:rPr>
          <w:rFonts w:ascii="仿宋" w:eastAsia="仿宋" w:hAnsi="仿宋" w:cs="仿宋_GB2312"/>
          <w:sz w:val="32"/>
          <w:szCs w:val="32"/>
          <w:lang w:val="zh-CN"/>
        </w:rPr>
        <w:t>2</w:t>
      </w:r>
      <w:r>
        <w:rPr>
          <w:rFonts w:ascii="仿宋" w:eastAsia="仿宋" w:hAnsi="仿宋" w:cs="仿宋_GB2312" w:hint="eastAsia"/>
          <w:sz w:val="32"/>
          <w:szCs w:val="32"/>
          <w:lang w:val="zh-CN"/>
        </w:rPr>
        <w:t>%、</w:t>
      </w:r>
      <w:r w:rsidR="002F3966">
        <w:rPr>
          <w:rFonts w:ascii="仿宋" w:eastAsia="仿宋" w:hAnsi="仿宋" w:cs="仿宋_GB2312"/>
          <w:sz w:val="32"/>
          <w:szCs w:val="32"/>
          <w:lang w:val="zh-CN"/>
        </w:rPr>
        <w:t>40</w:t>
      </w:r>
      <w:r w:rsidR="0041250C">
        <w:rPr>
          <w:rFonts w:ascii="仿宋" w:eastAsia="仿宋" w:hAnsi="仿宋" w:cs="仿宋_GB2312"/>
          <w:sz w:val="32"/>
          <w:szCs w:val="32"/>
          <w:lang w:val="zh-CN"/>
        </w:rPr>
        <w:t>.</w:t>
      </w:r>
      <w:r w:rsidR="002F3966">
        <w:rPr>
          <w:rFonts w:ascii="仿宋" w:eastAsia="仿宋" w:hAnsi="仿宋" w:cs="仿宋_GB2312"/>
          <w:sz w:val="32"/>
          <w:szCs w:val="32"/>
          <w:lang w:val="zh-CN"/>
        </w:rPr>
        <w:t>7</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2</w:t>
      </w:r>
      <w:r w:rsidR="002F3966">
        <w:rPr>
          <w:rFonts w:ascii="仿宋" w:eastAsia="仿宋" w:hAnsi="仿宋" w:cs="仿宋_GB2312"/>
          <w:sz w:val="32"/>
          <w:szCs w:val="32"/>
          <w:lang w:val="zh-CN"/>
        </w:rPr>
        <w:t>7</w:t>
      </w:r>
      <w:r w:rsidR="0041250C">
        <w:rPr>
          <w:rFonts w:ascii="仿宋" w:eastAsia="仿宋" w:hAnsi="仿宋" w:cs="仿宋_GB2312"/>
          <w:sz w:val="32"/>
          <w:szCs w:val="32"/>
          <w:lang w:val="zh-CN"/>
        </w:rPr>
        <w:t>.</w:t>
      </w:r>
      <w:r w:rsidR="002F3966">
        <w:rPr>
          <w:rFonts w:ascii="仿宋" w:eastAsia="仿宋" w:hAnsi="仿宋" w:cs="仿宋_GB2312"/>
          <w:sz w:val="32"/>
          <w:szCs w:val="32"/>
          <w:lang w:val="zh-CN"/>
        </w:rPr>
        <w:t>0</w:t>
      </w:r>
      <w:r>
        <w:rPr>
          <w:rFonts w:ascii="仿宋" w:eastAsia="仿宋" w:hAnsi="仿宋" w:cs="仿宋_GB2312" w:hint="eastAsia"/>
          <w:sz w:val="32"/>
          <w:szCs w:val="32"/>
          <w:lang w:val="zh-CN"/>
        </w:rPr>
        <w:t>%；机动车平均速度分别为</w:t>
      </w:r>
      <w:r w:rsidR="00FA75E2">
        <w:rPr>
          <w:rFonts w:ascii="仿宋" w:eastAsia="仿宋" w:hAnsi="仿宋" w:cs="仿宋_GB2312"/>
          <w:sz w:val="32"/>
          <w:szCs w:val="32"/>
          <w:lang w:val="zh-CN"/>
        </w:rPr>
        <w:t>5</w:t>
      </w:r>
      <w:r w:rsidR="00122EBE">
        <w:rPr>
          <w:rFonts w:ascii="仿宋" w:eastAsia="仿宋" w:hAnsi="仿宋" w:cs="仿宋_GB2312"/>
          <w:sz w:val="32"/>
          <w:szCs w:val="32"/>
          <w:lang w:val="zh-CN"/>
        </w:rPr>
        <w:t>7.</w:t>
      </w:r>
      <w:r w:rsidR="002F3966">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A185B">
        <w:rPr>
          <w:rFonts w:ascii="仿宋" w:eastAsia="仿宋" w:hAnsi="仿宋" w:cs="仿宋_GB2312"/>
          <w:sz w:val="32"/>
          <w:szCs w:val="32"/>
          <w:lang w:val="zh-CN"/>
        </w:rPr>
        <w:t>1</w:t>
      </w:r>
      <w:r w:rsidR="00FA75E2">
        <w:rPr>
          <w:rFonts w:ascii="仿宋" w:eastAsia="仿宋" w:hAnsi="仿宋" w:cs="仿宋_GB2312"/>
          <w:sz w:val="32"/>
          <w:szCs w:val="32"/>
          <w:lang w:val="zh-CN"/>
        </w:rPr>
        <w:t>.</w:t>
      </w:r>
      <w:r w:rsidR="002F3966">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8C0C5A">
        <w:rPr>
          <w:rFonts w:ascii="仿宋" w:eastAsia="仿宋" w:hAnsi="仿宋" w:cs="仿宋_GB2312"/>
          <w:sz w:val="32"/>
          <w:szCs w:val="32"/>
          <w:lang w:val="zh-CN"/>
        </w:rPr>
        <w:t>6.</w:t>
      </w:r>
      <w:r w:rsidR="002F3966">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122EBE">
        <w:rPr>
          <w:rFonts w:ascii="仿宋" w:eastAsia="仿宋" w:hAnsi="仿宋" w:cs="仿宋_GB2312"/>
          <w:sz w:val="32"/>
          <w:szCs w:val="32"/>
          <w:lang w:val="zh-CN"/>
        </w:rPr>
        <w:t>4.2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3B06A7" w:rsidP="00167A33">
      <w:pPr>
        <w:ind w:firstLineChars="200" w:firstLine="420"/>
        <w:rPr>
          <w:szCs w:val="32"/>
        </w:rPr>
      </w:pPr>
      <w:r>
        <w:rPr>
          <w:noProof/>
          <w:szCs w:val="32"/>
        </w:rPr>
        <w:lastRenderedPageBreak/>
        <w:drawing>
          <wp:inline distT="0" distB="0" distL="0" distR="0">
            <wp:extent cx="5265025" cy="265698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871" cy="2668008"/>
                    </a:xfrm>
                    <a:prstGeom prst="rect">
                      <a:avLst/>
                    </a:prstGeom>
                    <a:noFill/>
                  </pic:spPr>
                </pic:pic>
              </a:graphicData>
            </a:graphic>
          </wp:inline>
        </w:drawing>
      </w:r>
    </w:p>
    <w:p w:rsidR="00CA5F35" w:rsidRDefault="00CA5F35" w:rsidP="00167A33">
      <w:pPr>
        <w:ind w:firstLineChars="200" w:firstLine="420"/>
        <w:rPr>
          <w:szCs w:val="32"/>
        </w:rPr>
      </w:pPr>
    </w:p>
    <w:p w:rsidR="00BF508B" w:rsidRDefault="003B06A7" w:rsidP="00167A33">
      <w:pPr>
        <w:ind w:firstLineChars="200" w:firstLine="420"/>
        <w:rPr>
          <w:szCs w:val="32"/>
        </w:rPr>
      </w:pPr>
      <w:r>
        <w:rPr>
          <w:noProof/>
          <w:szCs w:val="32"/>
        </w:rPr>
        <w:drawing>
          <wp:inline distT="0" distB="0" distL="0" distR="0">
            <wp:extent cx="5264785" cy="29329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8509" cy="2946188"/>
                    </a:xfrm>
                    <a:prstGeom prst="rect">
                      <a:avLst/>
                    </a:prstGeom>
                    <a:noFill/>
                  </pic:spPr>
                </pic:pic>
              </a:graphicData>
            </a:graphic>
          </wp:inline>
        </w:drawing>
      </w:r>
    </w:p>
    <w:p w:rsidR="00A31456" w:rsidRDefault="00A31456" w:rsidP="00167A33">
      <w:pPr>
        <w:ind w:firstLineChars="200" w:firstLine="420"/>
        <w:rPr>
          <w:szCs w:val="32"/>
        </w:rPr>
      </w:pPr>
    </w:p>
    <w:p w:rsidR="00A31456" w:rsidRDefault="003B06A7" w:rsidP="00167A33">
      <w:pPr>
        <w:ind w:firstLineChars="200" w:firstLine="420"/>
        <w:rPr>
          <w:szCs w:val="32"/>
        </w:rPr>
      </w:pPr>
      <w:r>
        <w:rPr>
          <w:noProof/>
          <w:szCs w:val="32"/>
        </w:rPr>
        <w:drawing>
          <wp:inline distT="0" distB="0" distL="0" distR="0">
            <wp:extent cx="5311297" cy="28984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1346" cy="2909416"/>
                    </a:xfrm>
                    <a:prstGeom prst="rect">
                      <a:avLst/>
                    </a:prstGeom>
                    <a:noFill/>
                  </pic:spPr>
                </pic:pic>
              </a:graphicData>
            </a:graphic>
          </wp:inline>
        </w:drawing>
      </w:r>
    </w:p>
    <w:p w:rsidR="00CA5F35" w:rsidRDefault="00CA5F35" w:rsidP="00167A33">
      <w:pPr>
        <w:ind w:firstLineChars="200" w:firstLine="420"/>
        <w:rPr>
          <w:szCs w:val="32"/>
        </w:rPr>
      </w:pPr>
    </w:p>
    <w:p w:rsidR="00A761D6" w:rsidRDefault="008378FF" w:rsidP="00167A33">
      <w:pPr>
        <w:ind w:firstLineChars="200" w:firstLine="420"/>
        <w:rPr>
          <w:szCs w:val="32"/>
        </w:rPr>
      </w:pPr>
      <w:r>
        <w:rPr>
          <w:noProof/>
          <w:szCs w:val="32"/>
        </w:rPr>
        <w:lastRenderedPageBreak/>
        <w:drawing>
          <wp:inline distT="0" distB="0" distL="0" distR="0">
            <wp:extent cx="5312758" cy="23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8398" cy="2383220"/>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D640D9"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6948</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8227</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7026</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7561</w:t>
            </w:r>
          </w:p>
        </w:tc>
        <w:tc>
          <w:tcPr>
            <w:tcW w:w="96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7505</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8533</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8758</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widowControl/>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7794</w:t>
            </w:r>
          </w:p>
        </w:tc>
      </w:tr>
      <w:tr w:rsidR="00D640D9"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11091</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12971</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11607</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12102</w:t>
            </w:r>
          </w:p>
        </w:tc>
        <w:tc>
          <w:tcPr>
            <w:tcW w:w="96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12913</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12925</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13468</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12440</w:t>
            </w:r>
          </w:p>
        </w:tc>
      </w:tr>
      <w:tr w:rsidR="00D640D9" w:rsidRPr="008127CB" w:rsidTr="007B74D0">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33414</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39862</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37691</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37743</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38603</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37179</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35083</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37082</w:t>
            </w:r>
          </w:p>
        </w:tc>
      </w:tr>
      <w:tr w:rsidR="00D640D9"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34519</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37151</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32629</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34772</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34504</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35319</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33144</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34577</w:t>
            </w:r>
          </w:p>
        </w:tc>
      </w:tr>
      <w:tr w:rsidR="00D640D9" w:rsidRPr="00CF0182" w:rsidTr="00DA077A">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14948</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15944</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15126</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15390</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15531</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14862</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14498</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15186</w:t>
            </w:r>
          </w:p>
        </w:tc>
      </w:tr>
      <w:tr w:rsidR="00D640D9"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9085</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9610</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8692</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9277</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9491</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9548</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9821</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9361</w:t>
            </w:r>
          </w:p>
        </w:tc>
      </w:tr>
      <w:tr w:rsidR="00D640D9"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20888</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21889</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18684</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20207</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21582</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21530</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21305</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20869</w:t>
            </w:r>
          </w:p>
        </w:tc>
      </w:tr>
      <w:tr w:rsidR="00D640D9" w:rsidRPr="008127CB" w:rsidTr="00CD182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w:t>
            </w:r>
            <w:proofErr w:type="gramStart"/>
            <w:r w:rsidRPr="008127CB">
              <w:rPr>
                <w:rFonts w:asciiTheme="majorEastAsia" w:eastAsiaTheme="majorEastAsia" w:hAnsiTheme="majorEastAsia" w:cs="宋体" w:hint="eastAsia"/>
                <w:kern w:val="0"/>
                <w:sz w:val="20"/>
                <w:szCs w:val="20"/>
              </w:rPr>
              <w:t>漕</w:t>
            </w:r>
            <w:proofErr w:type="gramEnd"/>
            <w:r w:rsidRPr="008127CB">
              <w:rPr>
                <w:rFonts w:asciiTheme="majorEastAsia" w:eastAsiaTheme="majorEastAsia" w:hAnsiTheme="majorEastAsia" w:cs="宋体" w:hint="eastAsia"/>
                <w:kern w:val="0"/>
                <w:sz w:val="20"/>
                <w:szCs w:val="20"/>
              </w:rPr>
              <w:t>桥</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23027</w:t>
            </w:r>
          </w:p>
        </w:tc>
        <w:tc>
          <w:tcPr>
            <w:tcW w:w="104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24832</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23723</w:t>
            </w:r>
          </w:p>
        </w:tc>
        <w:tc>
          <w:tcPr>
            <w:tcW w:w="936"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24442</w:t>
            </w:r>
          </w:p>
        </w:tc>
        <w:tc>
          <w:tcPr>
            <w:tcW w:w="96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24051</w:t>
            </w:r>
          </w:p>
        </w:tc>
        <w:tc>
          <w:tcPr>
            <w:tcW w:w="988" w:type="dxa"/>
            <w:tcBorders>
              <w:top w:val="nil"/>
              <w:left w:val="nil"/>
              <w:bottom w:val="single" w:sz="4" w:space="0" w:color="auto"/>
              <w:right w:val="single" w:sz="4" w:space="0" w:color="auto"/>
            </w:tcBorders>
            <w:shd w:val="clear" w:color="auto" w:fill="FFFF99"/>
            <w:noWrap/>
            <w:vAlign w:val="bottom"/>
          </w:tcPr>
          <w:p w:rsidR="00D640D9" w:rsidRPr="00CF0182" w:rsidRDefault="00D640D9" w:rsidP="00D640D9">
            <w:pPr>
              <w:widowControl/>
              <w:jc w:val="center"/>
              <w:textAlignment w:val="bottom"/>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24537</w:t>
            </w:r>
          </w:p>
        </w:tc>
        <w:tc>
          <w:tcPr>
            <w:tcW w:w="988" w:type="dxa"/>
            <w:tcBorders>
              <w:top w:val="nil"/>
              <w:left w:val="nil"/>
              <w:bottom w:val="single" w:sz="4" w:space="0" w:color="auto"/>
              <w:right w:val="single" w:sz="4" w:space="0" w:color="auto"/>
            </w:tcBorders>
            <w:shd w:val="clear" w:color="auto" w:fill="FFFF99"/>
            <w:noWrap/>
            <w:vAlign w:val="center"/>
          </w:tcPr>
          <w:p w:rsidR="00D640D9" w:rsidRPr="00CF0182"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22143</w:t>
            </w:r>
          </w:p>
        </w:tc>
        <w:tc>
          <w:tcPr>
            <w:tcW w:w="1057" w:type="dxa"/>
            <w:tcBorders>
              <w:top w:val="nil"/>
              <w:left w:val="nil"/>
              <w:bottom w:val="single" w:sz="4" w:space="0" w:color="auto"/>
              <w:right w:val="single" w:sz="4" w:space="0" w:color="auto"/>
            </w:tcBorders>
            <w:shd w:val="clear" w:color="auto" w:fill="FFCC99"/>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23822</w:t>
            </w:r>
          </w:p>
        </w:tc>
      </w:tr>
      <w:tr w:rsidR="00D640D9" w:rsidRPr="008127CB" w:rsidTr="00D818CE">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D640D9" w:rsidRPr="008127CB" w:rsidRDefault="00D640D9" w:rsidP="00D640D9">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widowControl/>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153920</w:t>
            </w:r>
          </w:p>
        </w:tc>
        <w:tc>
          <w:tcPr>
            <w:tcW w:w="1046"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170486</w:t>
            </w:r>
          </w:p>
        </w:tc>
        <w:tc>
          <w:tcPr>
            <w:tcW w:w="988"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155178</w:t>
            </w:r>
          </w:p>
        </w:tc>
        <w:tc>
          <w:tcPr>
            <w:tcW w:w="936"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161494</w:t>
            </w:r>
          </w:p>
        </w:tc>
        <w:tc>
          <w:tcPr>
            <w:tcW w:w="968"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164180</w:t>
            </w:r>
          </w:p>
        </w:tc>
        <w:tc>
          <w:tcPr>
            <w:tcW w:w="988"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164433</w:t>
            </w:r>
          </w:p>
        </w:tc>
        <w:tc>
          <w:tcPr>
            <w:tcW w:w="988"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D640D9">
            <w:pPr>
              <w:jc w:val="right"/>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158220</w:t>
            </w:r>
          </w:p>
        </w:tc>
        <w:tc>
          <w:tcPr>
            <w:tcW w:w="1057" w:type="dxa"/>
            <w:tcBorders>
              <w:top w:val="nil"/>
              <w:left w:val="nil"/>
              <w:bottom w:val="single" w:sz="4" w:space="0" w:color="auto"/>
              <w:right w:val="single" w:sz="4" w:space="0" w:color="auto"/>
            </w:tcBorders>
            <w:shd w:val="clear" w:color="auto" w:fill="FFFF00"/>
            <w:noWrap/>
            <w:vAlign w:val="bottom"/>
          </w:tcPr>
          <w:p w:rsidR="00D640D9" w:rsidRPr="00D640D9" w:rsidRDefault="00D640D9" w:rsidP="003B06A7">
            <w:pPr>
              <w:jc w:val="center"/>
              <w:rPr>
                <w:rFonts w:asciiTheme="majorEastAsia" w:eastAsiaTheme="majorEastAsia" w:hAnsiTheme="majorEastAsia" w:cs="宋体"/>
                <w:color w:val="000000"/>
                <w:kern w:val="0"/>
                <w:sz w:val="24"/>
                <w:lang/>
              </w:rPr>
            </w:pPr>
            <w:r w:rsidRPr="00D640D9">
              <w:rPr>
                <w:rFonts w:asciiTheme="majorEastAsia" w:eastAsiaTheme="majorEastAsia" w:hAnsiTheme="majorEastAsia" w:cs="宋体" w:hint="eastAsia"/>
                <w:color w:val="000000"/>
                <w:kern w:val="0"/>
                <w:sz w:val="24"/>
                <w:lang/>
              </w:rPr>
              <w:t>161130</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w:t>
      </w:r>
      <w:proofErr w:type="gramStart"/>
      <w:r w:rsidR="001D3689" w:rsidRPr="00FA5BB3">
        <w:rPr>
          <w:rFonts w:ascii="仿宋" w:eastAsia="仿宋" w:hAnsi="仿宋" w:cs="仿宋_GB2312" w:hint="eastAsia"/>
          <w:sz w:val="32"/>
          <w:szCs w:val="32"/>
          <w:lang w:val="zh-CN"/>
        </w:rPr>
        <w:t>情况</w:t>
      </w:r>
      <w:r w:rsidR="00D10FDA" w:rsidRPr="00FA5BB3">
        <w:rPr>
          <w:rFonts w:ascii="仿宋" w:eastAsia="仿宋" w:hAnsi="仿宋" w:cs="仿宋_GB2312" w:hint="eastAsia"/>
          <w:sz w:val="32"/>
          <w:szCs w:val="32"/>
          <w:lang w:val="zh-CN"/>
        </w:rPr>
        <w:t>环</w:t>
      </w:r>
      <w:proofErr w:type="gramEnd"/>
      <w:r w:rsidR="00D10FDA" w:rsidRPr="00FA5BB3">
        <w:rPr>
          <w:rFonts w:ascii="仿宋" w:eastAsia="仿宋" w:hAnsi="仿宋" w:cs="仿宋_GB2312" w:hint="eastAsia"/>
          <w:sz w:val="32"/>
          <w:szCs w:val="32"/>
          <w:lang w:val="zh-CN"/>
        </w:rPr>
        <w:t>比分析</w:t>
      </w:r>
      <w:r w:rsidR="00255391" w:rsidRPr="00FA5BB3">
        <w:rPr>
          <w:rFonts w:ascii="仿宋" w:eastAsia="仿宋" w:hAnsi="仿宋" w:cs="仿宋_GB2312" w:hint="eastAsia"/>
          <w:sz w:val="32"/>
          <w:szCs w:val="32"/>
          <w:lang w:val="zh-CN"/>
        </w:rPr>
        <w:t>。</w:t>
      </w:r>
    </w:p>
    <w:tbl>
      <w:tblPr>
        <w:tblW w:w="9560" w:type="dxa"/>
        <w:tblInd w:w="-643" w:type="dxa"/>
        <w:tblLook w:val="000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D16507">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8557</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D640D9" w:rsidP="0055012B">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8660</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55012B">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8670</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55012B">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8300</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55012B">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8144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55012B">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8229</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D640D9" w:rsidP="0055012B">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8256</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D640D9" w:rsidP="00D16507">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8402</w:t>
            </w:r>
          </w:p>
        </w:tc>
      </w:tr>
      <w:tr w:rsidR="00D640D9"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D640D9" w:rsidRPr="00D22667" w:rsidRDefault="00D640D9" w:rsidP="00D640D9">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8557</w:t>
            </w:r>
          </w:p>
        </w:tc>
        <w:tc>
          <w:tcPr>
            <w:tcW w:w="1046" w:type="dxa"/>
            <w:tcBorders>
              <w:top w:val="nil"/>
              <w:left w:val="nil"/>
              <w:bottom w:val="single" w:sz="4" w:space="0" w:color="auto"/>
              <w:right w:val="single" w:sz="4" w:space="0" w:color="auto"/>
            </w:tcBorders>
            <w:shd w:val="clear" w:color="auto" w:fill="FFFF00"/>
            <w:noWrap/>
            <w:vAlign w:val="center"/>
          </w:tcPr>
          <w:p w:rsidR="00D640D9" w:rsidRPr="00291996" w:rsidRDefault="00D640D9" w:rsidP="00D640D9">
            <w:pPr>
              <w:widowControl/>
              <w:jc w:val="center"/>
              <w:textAlignment w:val="center"/>
              <w:rPr>
                <w:rFonts w:asciiTheme="majorEastAsia" w:eastAsiaTheme="majorEastAsia" w:hAnsiTheme="majorEastAsia" w:cs="宋体"/>
                <w:color w:val="000000"/>
                <w:kern w:val="0"/>
                <w:sz w:val="24"/>
                <w:lang/>
              </w:rPr>
            </w:pPr>
            <w:r>
              <w:rPr>
                <w:rFonts w:asciiTheme="majorEastAsia" w:eastAsiaTheme="majorEastAsia" w:hAnsiTheme="majorEastAsia" w:cs="宋体"/>
                <w:color w:val="000000"/>
                <w:kern w:val="0"/>
                <w:sz w:val="24"/>
                <w:lang/>
              </w:rPr>
              <w:t>8660</w:t>
            </w:r>
          </w:p>
        </w:tc>
        <w:tc>
          <w:tcPr>
            <w:tcW w:w="988"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8670</w:t>
            </w:r>
          </w:p>
        </w:tc>
        <w:tc>
          <w:tcPr>
            <w:tcW w:w="909"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8300</w:t>
            </w:r>
          </w:p>
        </w:tc>
        <w:tc>
          <w:tcPr>
            <w:tcW w:w="968"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8144</w:t>
            </w:r>
          </w:p>
        </w:tc>
        <w:tc>
          <w:tcPr>
            <w:tcW w:w="988"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8229</w:t>
            </w:r>
          </w:p>
        </w:tc>
        <w:tc>
          <w:tcPr>
            <w:tcW w:w="988"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8256</w:t>
            </w:r>
          </w:p>
        </w:tc>
        <w:tc>
          <w:tcPr>
            <w:tcW w:w="1057" w:type="dxa"/>
            <w:tcBorders>
              <w:top w:val="nil"/>
              <w:left w:val="nil"/>
              <w:bottom w:val="single" w:sz="4" w:space="0" w:color="auto"/>
              <w:right w:val="single" w:sz="4" w:space="0" w:color="auto"/>
            </w:tcBorders>
            <w:shd w:val="clear" w:color="auto" w:fill="FFFF00"/>
            <w:noWrap/>
            <w:vAlign w:val="center"/>
          </w:tcPr>
          <w:p w:rsidR="00D640D9" w:rsidRPr="003162BF" w:rsidRDefault="00D640D9" w:rsidP="00D640D9">
            <w:pPr>
              <w:widowControl/>
              <w:jc w:val="center"/>
              <w:textAlignment w:val="center"/>
              <w:rPr>
                <w:rFonts w:asciiTheme="majorEastAsia" w:eastAsiaTheme="majorEastAsia" w:hAnsiTheme="majorEastAsia" w:cstheme="majorEastAsia"/>
                <w:color w:val="000000"/>
                <w:kern w:val="0"/>
                <w:sz w:val="24"/>
                <w:lang/>
              </w:rPr>
            </w:pPr>
            <w:r>
              <w:rPr>
                <w:rFonts w:asciiTheme="majorEastAsia" w:eastAsiaTheme="majorEastAsia" w:hAnsiTheme="majorEastAsia" w:cs="宋体"/>
                <w:color w:val="000000"/>
                <w:kern w:val="0"/>
                <w:sz w:val="24"/>
                <w:lang/>
              </w:rPr>
              <w:t>8402</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B20C85">
        <w:rPr>
          <w:rFonts w:ascii="仿宋" w:eastAsia="仿宋" w:hAnsi="仿宋" w:hint="eastAsia"/>
          <w:sz w:val="32"/>
          <w:szCs w:val="32"/>
        </w:rPr>
        <w:t>201</w:t>
      </w:r>
      <w:r w:rsidR="003A017A">
        <w:rPr>
          <w:rFonts w:ascii="仿宋" w:eastAsia="仿宋" w:hAnsi="仿宋" w:hint="eastAsia"/>
          <w:sz w:val="32"/>
          <w:szCs w:val="32"/>
        </w:rPr>
        <w:t>9</w:t>
      </w:r>
      <w:r w:rsidR="00B20C85">
        <w:rPr>
          <w:rFonts w:ascii="仿宋" w:eastAsia="仿宋" w:hAnsi="仿宋" w:hint="eastAsia"/>
          <w:sz w:val="32"/>
          <w:szCs w:val="32"/>
        </w:rPr>
        <w:t>年1月7日至2019年1月13日</w:t>
      </w:r>
      <w:r w:rsidR="005477E5" w:rsidRPr="00814119">
        <w:rPr>
          <w:rFonts w:ascii="仿宋" w:eastAsia="仿宋" w:hAnsi="仿宋" w:hint="eastAsia"/>
          <w:sz w:val="32"/>
          <w:szCs w:val="32"/>
        </w:rPr>
        <w:t>，常州路网中心通过公路网管理与应急指挥系统上报各类路网事件共计</w:t>
      </w:r>
      <w:r w:rsidR="00FA5283">
        <w:rPr>
          <w:rFonts w:ascii="仿宋" w:eastAsia="仿宋" w:hAnsi="仿宋"/>
          <w:sz w:val="32"/>
          <w:szCs w:val="32"/>
        </w:rPr>
        <w:t>1</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FA5283">
        <w:rPr>
          <w:rFonts w:ascii="仿宋" w:eastAsia="仿宋" w:hAnsi="仿宋" w:cs="仿宋_GB2312"/>
          <w:sz w:val="32"/>
          <w:szCs w:val="32"/>
          <w:lang w:val="zh-CN"/>
        </w:rPr>
        <w:t>1</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7C6CA4">
        <w:rPr>
          <w:rFonts w:ascii="仿宋" w:eastAsia="仿宋" w:hAnsi="仿宋" w:cs="仿宋_GB2312"/>
          <w:sz w:val="32"/>
          <w:szCs w:val="32"/>
          <w:lang w:val="zh-CN"/>
        </w:rPr>
        <w:t>2</w:t>
      </w:r>
      <w:r w:rsidR="00FA5283">
        <w:rPr>
          <w:rFonts w:ascii="仿宋" w:eastAsia="仿宋" w:hAnsi="仿宋" w:cs="仿宋_GB2312"/>
          <w:sz w:val="32"/>
          <w:szCs w:val="32"/>
          <w:lang w:val="zh-CN"/>
        </w:rPr>
        <w:t>0</w:t>
      </w:r>
      <w:r w:rsidRPr="00814119">
        <w:rPr>
          <w:rFonts w:ascii="仿宋" w:eastAsia="仿宋" w:hAnsi="仿宋" w:cs="仿宋_GB2312" w:hint="eastAsia"/>
          <w:sz w:val="32"/>
          <w:szCs w:val="32"/>
          <w:lang w:val="zh-CN"/>
        </w:rPr>
        <w:t>条，通过多种方式发布路况信息</w:t>
      </w:r>
      <w:r w:rsidR="00FA5283">
        <w:rPr>
          <w:rFonts w:ascii="仿宋" w:eastAsia="仿宋" w:hAnsi="仿宋" w:cs="仿宋_GB2312"/>
          <w:sz w:val="32"/>
          <w:szCs w:val="32"/>
          <w:lang w:val="zh-CN"/>
        </w:rPr>
        <w:t>34</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lastRenderedPageBreak/>
        <w:t>2、接受路况咨询</w:t>
      </w:r>
      <w:r w:rsidR="00D42E93">
        <w:rPr>
          <w:rFonts w:ascii="仿宋" w:eastAsia="仿宋" w:hAnsi="仿宋" w:cs="仿宋_GB2312"/>
          <w:sz w:val="32"/>
          <w:szCs w:val="32"/>
          <w:lang w:val="zh-CN"/>
        </w:rPr>
        <w:t>2</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4F27BD">
        <w:rPr>
          <w:rFonts w:ascii="仿宋" w:eastAsia="仿宋" w:hAnsi="仿宋" w:cs="仿宋_GB2312" w:hint="eastAsia"/>
          <w:sz w:val="32"/>
          <w:szCs w:val="32"/>
          <w:lang w:val="zh-CN"/>
        </w:rPr>
        <w:t>进行了</w:t>
      </w:r>
      <w:r w:rsidR="004F27BD" w:rsidRPr="004F27BD">
        <w:rPr>
          <w:rFonts w:ascii="仿宋" w:eastAsia="仿宋" w:hAnsi="仿宋" w:cs="仿宋_GB2312" w:hint="eastAsia"/>
          <w:sz w:val="32"/>
          <w:szCs w:val="32"/>
          <w:lang w:val="zh-CN"/>
        </w:rPr>
        <w:t>2019年</w:t>
      </w:r>
      <w:r w:rsidR="00E5727B">
        <w:rPr>
          <w:rFonts w:ascii="仿宋" w:eastAsia="仿宋" w:hAnsi="仿宋" w:cs="仿宋_GB2312" w:hint="eastAsia"/>
          <w:sz w:val="32"/>
          <w:szCs w:val="32"/>
          <w:lang w:val="zh-CN"/>
        </w:rPr>
        <w:t>路网监测点</w:t>
      </w:r>
      <w:r w:rsidR="004F27BD" w:rsidRPr="004F27BD">
        <w:rPr>
          <w:rFonts w:ascii="仿宋" w:eastAsia="仿宋" w:hAnsi="仿宋" w:cs="仿宋_GB2312" w:hint="eastAsia"/>
          <w:sz w:val="32"/>
          <w:szCs w:val="32"/>
          <w:lang w:val="zh-CN"/>
        </w:rPr>
        <w:t>计划建设站点</w:t>
      </w:r>
      <w:r w:rsidR="00E5727B">
        <w:rPr>
          <w:rFonts w:ascii="仿宋" w:eastAsia="仿宋" w:hAnsi="仿宋" w:cs="仿宋_GB2312" w:hint="eastAsia"/>
          <w:sz w:val="32"/>
          <w:szCs w:val="32"/>
          <w:lang w:val="zh-CN"/>
        </w:rPr>
        <w:t>定点</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F96C50">
        <w:rPr>
          <w:rFonts w:ascii="仿宋" w:eastAsia="仿宋" w:hAnsi="仿宋" w:cs="仿宋_GB2312"/>
          <w:color w:val="000000"/>
          <w:sz w:val="32"/>
          <w:szCs w:val="32"/>
          <w:lang w:val="zh-CN"/>
        </w:rPr>
        <w:t>1</w:t>
      </w:r>
      <w:r w:rsidR="006051CF">
        <w:rPr>
          <w:rFonts w:ascii="仿宋" w:eastAsia="仿宋" w:hAnsi="仿宋" w:cs="仿宋_GB2312" w:hint="eastAsia"/>
          <w:color w:val="000000"/>
          <w:sz w:val="32"/>
          <w:szCs w:val="32"/>
          <w:lang w:val="zh-CN"/>
        </w:rPr>
        <w:t>月</w:t>
      </w:r>
      <w:r w:rsidR="00CA1786">
        <w:rPr>
          <w:rFonts w:ascii="仿宋" w:eastAsia="仿宋" w:hAnsi="仿宋" w:cs="仿宋_GB2312"/>
          <w:color w:val="000000"/>
          <w:sz w:val="32"/>
          <w:szCs w:val="32"/>
          <w:lang w:val="zh-CN"/>
        </w:rPr>
        <w:t>14</w:t>
      </w:r>
      <w:r w:rsidR="006051CF">
        <w:rPr>
          <w:rFonts w:ascii="仿宋" w:eastAsia="仿宋" w:hAnsi="仿宋" w:cs="仿宋_GB2312" w:hint="eastAsia"/>
          <w:color w:val="000000"/>
          <w:sz w:val="32"/>
          <w:szCs w:val="32"/>
          <w:lang w:val="zh-CN"/>
        </w:rPr>
        <w:t>日至</w:t>
      </w:r>
      <w:r w:rsidR="00F96C50">
        <w:rPr>
          <w:rFonts w:ascii="仿宋" w:eastAsia="仿宋" w:hAnsi="仿宋" w:cs="仿宋_GB2312"/>
          <w:color w:val="000000"/>
          <w:sz w:val="32"/>
          <w:szCs w:val="32"/>
          <w:lang w:val="zh-CN"/>
        </w:rPr>
        <w:t>1</w:t>
      </w:r>
      <w:r w:rsidR="006051CF">
        <w:rPr>
          <w:rFonts w:ascii="仿宋" w:eastAsia="仿宋" w:hAnsi="仿宋" w:cs="仿宋_GB2312" w:hint="eastAsia"/>
          <w:color w:val="000000"/>
          <w:sz w:val="32"/>
          <w:szCs w:val="32"/>
          <w:lang w:val="zh-CN"/>
        </w:rPr>
        <w:t>月</w:t>
      </w:r>
      <w:r w:rsidR="00CA1786">
        <w:rPr>
          <w:rFonts w:ascii="仿宋" w:eastAsia="仿宋" w:hAnsi="仿宋" w:cs="仿宋_GB2312"/>
          <w:color w:val="000000"/>
          <w:sz w:val="32"/>
          <w:szCs w:val="32"/>
          <w:lang w:val="zh-CN"/>
        </w:rPr>
        <w:t>20</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182E79">
        <w:rPr>
          <w:rFonts w:ascii="仿宋" w:eastAsia="仿宋" w:hAnsi="仿宋" w:cs="仿宋_GB2312" w:hint="eastAsia"/>
          <w:color w:val="000000"/>
          <w:sz w:val="32"/>
          <w:szCs w:val="32"/>
          <w:lang w:val="zh-CN"/>
        </w:rPr>
        <w:t>多云</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8378FF">
        <w:rPr>
          <w:rFonts w:ascii="仿宋" w:eastAsia="仿宋" w:hAnsi="仿宋" w:cs="仿宋_GB2312"/>
          <w:color w:val="000000"/>
          <w:sz w:val="32"/>
          <w:szCs w:val="32"/>
          <w:lang w:val="zh-CN"/>
        </w:rPr>
        <w:t>-1</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sz w:val="28"/>
          <w:szCs w:val="28"/>
          <w:lang w:val="zh-CN"/>
        </w:rPr>
        <w:t>）</w:t>
      </w:r>
    </w:p>
    <w:tbl>
      <w:tblPr>
        <w:tblW w:w="0" w:type="auto"/>
        <w:jc w:val="center"/>
        <w:tblLayout w:type="fixed"/>
        <w:tblLook w:val="000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497D7F"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1</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4F27BD"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F27BD" w:rsidRPr="00814119" w:rsidRDefault="004F27BD" w:rsidP="004F27BD">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4F27BD" w:rsidRDefault="004F27BD" w:rsidP="004F27BD">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7206AB"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7206AB" w:rsidRPr="00814119" w:rsidRDefault="007206AB" w:rsidP="007206AB">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7206AB" w:rsidRDefault="00497D7F" w:rsidP="007206A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1</w:t>
            </w:r>
          </w:p>
        </w:tc>
        <w:tc>
          <w:tcPr>
            <w:tcW w:w="1800" w:type="dxa"/>
            <w:tcBorders>
              <w:top w:val="double" w:sz="4"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double" w:sz="4" w:space="0" w:color="auto"/>
              <w:left w:val="single" w:sz="6" w:space="0" w:color="auto"/>
              <w:bottom w:val="single" w:sz="6" w:space="0" w:color="auto"/>
              <w:right w:val="single" w:sz="4"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double" w:sz="4"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97D7F"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jc w:val="center"/>
              <w:rPr>
                <w:rFonts w:ascii="仿宋_GB2312" w:eastAsia="仿宋_GB2312" w:hAnsi="仿宋" w:cs="宋体"/>
                <w:color w:val="000000"/>
                <w:sz w:val="24"/>
                <w:lang w:val="zh-CN"/>
              </w:rPr>
            </w:pPr>
            <w:r>
              <w:rPr>
                <w:rFonts w:ascii="仿宋_GB2312" w:eastAsia="仿宋_GB2312" w:hAnsi="仿宋" w:cs="宋体"/>
                <w:color w:val="000000"/>
                <w:sz w:val="24"/>
                <w:lang w:val="zh-CN"/>
              </w:rPr>
              <w:t>1</w:t>
            </w:r>
          </w:p>
        </w:tc>
        <w:tc>
          <w:tcPr>
            <w:tcW w:w="1985"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rPr>
                <w:rFonts w:ascii="仿宋_GB2312" w:eastAsia="仿宋_GB2312" w:hAnsi="仿宋" w:cs="宋体"/>
                <w:sz w:val="24"/>
              </w:rPr>
            </w:pPr>
            <w:r>
              <w:rPr>
                <w:rFonts w:ascii="仿宋_GB2312" w:eastAsia="仿宋_GB2312" w:hAnsi="仿宋" w:cs="宋体" w:hint="eastAsia"/>
                <w:sz w:val="24"/>
              </w:rPr>
              <w:t>2019-1-13 13:34</w:t>
            </w:r>
          </w:p>
        </w:tc>
        <w:tc>
          <w:tcPr>
            <w:tcW w:w="3895"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jc w:val="center"/>
              <w:rPr>
                <w:rFonts w:ascii="仿宋_GB2312" w:eastAsia="仿宋_GB2312" w:hAnsi="仿宋" w:cs="宋体"/>
                <w:color w:val="000000"/>
                <w:sz w:val="24"/>
              </w:rPr>
            </w:pPr>
            <w:r>
              <w:rPr>
                <w:rFonts w:ascii="仿宋_GB2312" w:eastAsia="仿宋_GB2312" w:hAnsi="仿宋" w:cs="宋体" w:hint="eastAsia"/>
                <w:color w:val="000000"/>
                <w:sz w:val="24"/>
              </w:rPr>
              <w:t>S239 49K+700M上行</w:t>
            </w:r>
          </w:p>
        </w:tc>
        <w:tc>
          <w:tcPr>
            <w:tcW w:w="3960"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半幅路面施工，一辆大货车撞入围栏，无人员伤亡。</w:t>
            </w:r>
          </w:p>
        </w:tc>
        <w:tc>
          <w:tcPr>
            <w:tcW w:w="2909"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ind w:firstLineChars="300" w:firstLine="720"/>
              <w:rPr>
                <w:rFonts w:ascii="仿宋_GB2312" w:eastAsia="仿宋_GB2312" w:hAnsi="仿宋"/>
                <w:sz w:val="24"/>
              </w:rPr>
            </w:pPr>
            <w:r>
              <w:rPr>
                <w:rFonts w:ascii="仿宋_GB2312" w:eastAsia="仿宋_GB2312" w:hAnsi="仿宋" w:hint="eastAsia"/>
                <w:sz w:val="24"/>
              </w:rPr>
              <w:t>预计15时恢复。</w:t>
            </w:r>
          </w:p>
        </w:tc>
      </w:tr>
      <w:tr w:rsidR="00E9418D"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sz w:val="24"/>
              </w:rPr>
            </w:pPr>
          </w:p>
        </w:tc>
      </w:tr>
      <w:tr w:rsidR="00E05B75" w:rsidRPr="00B550A9" w:rsidTr="00497D7F">
        <w:trPr>
          <w:trHeight w:val="915"/>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497D7F">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497D7F">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584633" w:rsidRDefault="00E05B75" w:rsidP="00957E22">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roofErr w:type="gramStart"/>
            <w:r w:rsidRPr="000D59F0">
              <w:rPr>
                <w:rFonts w:ascii="仿宋" w:eastAsia="仿宋" w:hAnsi="仿宋" w:hint="eastAsia"/>
                <w:szCs w:val="21"/>
              </w:rPr>
              <w:t>河定桥</w:t>
            </w:r>
            <w:proofErr w:type="gramEnd"/>
            <w:r w:rsidRPr="000D59F0">
              <w:rPr>
                <w:rFonts w:ascii="仿宋" w:eastAsia="仿宋" w:hAnsi="仿宋" w:hint="eastAsia"/>
                <w:szCs w:val="21"/>
              </w:rPr>
              <w:t>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73</w:t>
            </w:r>
            <w:r w:rsidRPr="000D59F0">
              <w:rPr>
                <w:rFonts w:ascii="仿宋" w:eastAsia="仿宋" w:hAnsi="仿宋" w:hint="eastAsia"/>
                <w:szCs w:val="21"/>
              </w:rPr>
              <w:t>+</w:t>
            </w:r>
            <w:r w:rsidR="00CF44EA">
              <w:rPr>
                <w:rFonts w:ascii="仿宋" w:eastAsia="仿宋" w:hAnsi="仿宋"/>
                <w:szCs w:val="21"/>
              </w:rPr>
              <w:t>30</w:t>
            </w:r>
            <w:r w:rsidRPr="000D59F0">
              <w:rPr>
                <w:rFonts w:ascii="仿宋" w:eastAsia="仿宋" w:hAnsi="仿宋" w:hint="eastAsia"/>
                <w:szCs w:val="21"/>
              </w:rPr>
              <w:t>0-K</w:t>
            </w:r>
            <w:r w:rsidR="00CF44EA">
              <w:rPr>
                <w:rFonts w:ascii="仿宋" w:eastAsia="仿宋" w:hAnsi="仿宋"/>
                <w:szCs w:val="21"/>
              </w:rPr>
              <w:t>76</w:t>
            </w:r>
            <w:r w:rsidRPr="000D59F0">
              <w:rPr>
                <w:rFonts w:ascii="仿宋" w:eastAsia="仿宋" w:hAnsi="仿宋" w:hint="eastAsia"/>
                <w:szCs w:val="21"/>
              </w:rPr>
              <w:t>+</w:t>
            </w:r>
            <w:r w:rsidR="00CF44EA">
              <w:rPr>
                <w:rFonts w:ascii="仿宋" w:eastAsia="仿宋" w:hAnsi="仿宋"/>
                <w:szCs w:val="21"/>
              </w:rPr>
              <w:t>70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83</w:t>
            </w:r>
            <w:r w:rsidRPr="000D59F0">
              <w:rPr>
                <w:rFonts w:ascii="仿宋" w:eastAsia="仿宋" w:hAnsi="仿宋" w:hint="eastAsia"/>
                <w:szCs w:val="21"/>
              </w:rPr>
              <w:t>+</w:t>
            </w:r>
            <w:r w:rsidR="00CF44EA">
              <w:rPr>
                <w:rFonts w:ascii="仿宋" w:eastAsia="仿宋" w:hAnsi="仿宋"/>
                <w:szCs w:val="21"/>
              </w:rPr>
              <w:t>100</w:t>
            </w:r>
            <w:r w:rsidRPr="000D59F0">
              <w:rPr>
                <w:rFonts w:ascii="仿宋" w:eastAsia="仿宋" w:hAnsi="仿宋" w:hint="eastAsia"/>
                <w:szCs w:val="21"/>
              </w:rPr>
              <w:t>-</w:t>
            </w:r>
            <w:r w:rsidR="00CF44EA">
              <w:rPr>
                <w:rFonts w:ascii="仿宋" w:eastAsia="仿宋" w:hAnsi="仿宋"/>
                <w:szCs w:val="21"/>
              </w:rPr>
              <w:t>90</w:t>
            </w:r>
            <w:r w:rsidRPr="000D59F0">
              <w:rPr>
                <w:rFonts w:ascii="仿宋" w:eastAsia="仿宋" w:hAnsi="仿宋" w:hint="eastAsia"/>
                <w:szCs w:val="21"/>
              </w:rPr>
              <w:t>+</w:t>
            </w:r>
            <w:r w:rsidR="00CF44EA">
              <w:rPr>
                <w:rFonts w:ascii="仿宋" w:eastAsia="仿宋" w:hAnsi="仿宋"/>
                <w:szCs w:val="21"/>
              </w:rPr>
              <w:t>60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宋体" w:hAnsi="宋体" w:cs="宋体"/>
                <w:color w:val="000000"/>
                <w:kern w:val="0"/>
                <w:sz w:val="24"/>
                <w:lang/>
              </w:rPr>
            </w:pPr>
            <w:r>
              <w:rPr>
                <w:rFonts w:ascii="宋体" w:hAnsi="宋体" w:cs="宋体" w:hint="eastAsia"/>
                <w:color w:val="000000"/>
                <w:kern w:val="0"/>
                <w:sz w:val="24"/>
                <w:lang/>
              </w:rPr>
              <w:t>0</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0</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2</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2</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20</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proofErr w:type="gramStart"/>
            <w:r w:rsidRPr="00FA5BB3">
              <w:rPr>
                <w:rFonts w:ascii="仿宋" w:eastAsia="仿宋" w:hAnsi="仿宋" w:cs="宋体" w:hint="eastAsia"/>
                <w:kern w:val="0"/>
                <w:sz w:val="24"/>
                <w:lang w:val="zh-CN"/>
              </w:rPr>
              <w:t>微博</w:t>
            </w:r>
            <w:proofErr w:type="gramEnd"/>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2</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proofErr w:type="gramStart"/>
            <w:r w:rsidRPr="00FA5BB3">
              <w:rPr>
                <w:rFonts w:ascii="仿宋" w:eastAsia="仿宋" w:hAnsi="仿宋" w:cs="宋体" w:hint="eastAsia"/>
                <w:kern w:val="0"/>
                <w:sz w:val="24"/>
                <w:lang w:val="zh-CN"/>
              </w:rPr>
              <w:t>微信</w:t>
            </w:r>
            <w:proofErr w:type="gramEnd"/>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8</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single" w:sz="6" w:space="0" w:color="auto"/>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477"/>
        </w:trPr>
        <w:tc>
          <w:tcPr>
            <w:tcW w:w="3988" w:type="dxa"/>
            <w:tcBorders>
              <w:top w:val="nil"/>
              <w:left w:val="single" w:sz="6" w:space="0" w:color="auto"/>
              <w:bottom w:val="nil"/>
              <w:right w:val="single" w:sz="6" w:space="0" w:color="auto"/>
            </w:tcBorders>
            <w:vAlign w:val="center"/>
          </w:tcPr>
          <w:p w:rsidR="00FA5283" w:rsidRPr="00FA5BB3" w:rsidRDefault="00FA5283" w:rsidP="00FA528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r w:rsidR="00FA5283" w:rsidTr="00FA528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FA5283" w:rsidRDefault="00FA5283" w:rsidP="00FA5283">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center"/>
          </w:tcPr>
          <w:p w:rsidR="00FA5283" w:rsidRDefault="00FA5283" w:rsidP="00FA5283">
            <w:pPr>
              <w:widowControl/>
              <w:jc w:val="center"/>
              <w:textAlignment w:val="bottom"/>
              <w:rPr>
                <w:rFonts w:ascii="仿宋_GB2312" w:eastAsia="仿宋_GB2312" w:hAnsi="宋体" w:cs="宋体"/>
                <w:sz w:val="24"/>
              </w:rPr>
            </w:pPr>
            <w:r>
              <w:rPr>
                <w:rFonts w:ascii="宋体" w:hAnsi="宋体" w:cs="宋体" w:hint="eastAsia"/>
                <w:color w:val="000000"/>
                <w:kern w:val="0"/>
                <w:sz w:val="24"/>
                <w:lang/>
              </w:rPr>
              <w:t>34</w:t>
            </w:r>
          </w:p>
        </w:tc>
        <w:tc>
          <w:tcPr>
            <w:tcW w:w="1995" w:type="dxa"/>
            <w:tcBorders>
              <w:top w:val="single" w:sz="6" w:space="0" w:color="auto"/>
              <w:left w:val="single" w:sz="4" w:space="0" w:color="auto"/>
              <w:bottom w:val="single" w:sz="6" w:space="0" w:color="auto"/>
              <w:right w:val="single" w:sz="6" w:space="0" w:color="auto"/>
            </w:tcBorders>
            <w:vAlign w:val="center"/>
          </w:tcPr>
          <w:p w:rsidR="00FA5283" w:rsidRDefault="00FA5283" w:rsidP="00FA5283">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color w:val="000000"/>
          <w:sz w:val="28"/>
          <w:szCs w:val="28"/>
          <w:lang w:val="zh-CN"/>
        </w:rPr>
        <w:t>)</w:t>
      </w:r>
    </w:p>
    <w:tbl>
      <w:tblPr>
        <w:tblW w:w="8825" w:type="dxa"/>
        <w:tblInd w:w="103" w:type="dxa"/>
        <w:tblLayout w:type="fixed"/>
        <w:tblLook w:val="000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D42E93" w:rsidP="00957E22">
            <w:pPr>
              <w:jc w:val="center"/>
              <w:rPr>
                <w:rFonts w:ascii="仿宋_GB2312" w:eastAsia="仿宋_GB2312" w:hAnsi="仿宋" w:cs="宋体"/>
                <w:sz w:val="24"/>
              </w:rPr>
            </w:pPr>
            <w:r>
              <w:rPr>
                <w:rFonts w:ascii="仿宋_GB2312" w:eastAsia="仿宋_GB2312" w:hAnsi="仿宋" w:cs="宋体"/>
                <w:sz w:val="24"/>
              </w:rPr>
              <w:t>2</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D42E93" w:rsidP="00E3500A">
            <w:pPr>
              <w:jc w:val="center"/>
              <w:rPr>
                <w:rFonts w:ascii="仿宋_GB2312" w:eastAsia="仿宋_GB2312" w:hAnsi="仿宋" w:cs="宋体"/>
                <w:sz w:val="24"/>
              </w:rPr>
            </w:pPr>
            <w:r>
              <w:rPr>
                <w:rFonts w:ascii="仿宋_GB2312" w:eastAsia="仿宋_GB2312" w:hAnsi="仿宋" w:cs="宋体"/>
                <w:sz w:val="24"/>
              </w:rPr>
              <w:t>2</w:t>
            </w:r>
            <w:bookmarkStart w:id="0" w:name="_GoBack"/>
            <w:bookmarkEnd w:id="0"/>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color w:val="000000"/>
          <w:sz w:val="28"/>
          <w:szCs w:val="28"/>
          <w:lang w:val="zh-CN"/>
        </w:rPr>
        <w:t>）</w:t>
      </w:r>
    </w:p>
    <w:tbl>
      <w:tblPr>
        <w:tblW w:w="8670" w:type="dxa"/>
        <w:tblInd w:w="93" w:type="dxa"/>
        <w:tblLayout w:type="fixed"/>
        <w:tblLook w:val="000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AD02AA">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G104周城河桥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D24F43" w:rsidP="00E271CD">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Pr="00AD02AA" w:rsidRDefault="003A2572" w:rsidP="004F713C">
            <w:pPr>
              <w:autoSpaceDE w:val="0"/>
              <w:autoSpaceDN w:val="0"/>
              <w:adjustRightInd w:val="0"/>
              <w:jc w:val="center"/>
              <w:rPr>
                <w:rFonts w:ascii="仿宋" w:eastAsia="仿宋" w:hAnsi="仿宋" w:cs="仿宋_GB2312"/>
                <w:sz w:val="22"/>
                <w:lang w:val="zh-CN"/>
              </w:rPr>
            </w:pPr>
            <w:r>
              <w:rPr>
                <w:rFonts w:ascii="仿宋" w:eastAsia="仿宋" w:hAnsi="仿宋" w:cs="仿宋_GB2312"/>
                <w:sz w:val="24"/>
                <w:lang w:val="zh-CN"/>
              </w:rPr>
              <w:t>G233</w:t>
            </w:r>
            <w:r w:rsidR="004F713C">
              <w:rPr>
                <w:rFonts w:ascii="仿宋" w:eastAsia="仿宋" w:hAnsi="仿宋" w:cs="仿宋_GB2312" w:hint="eastAsia"/>
                <w:sz w:val="24"/>
                <w:lang w:val="zh-CN"/>
              </w:rPr>
              <w:t>指前</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322E08"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322E08" w:rsidP="004F713C">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proofErr w:type="gramStart"/>
            <w:r>
              <w:rPr>
                <w:rFonts w:ascii="仿宋" w:eastAsia="仿宋" w:hAnsi="仿宋" w:cs="仿宋_GB2312" w:hint="eastAsia"/>
                <w:sz w:val="24"/>
                <w:lang w:val="zh-CN"/>
              </w:rPr>
              <w:t>芜</w:t>
            </w:r>
            <w:proofErr w:type="gramEnd"/>
            <w:r>
              <w:rPr>
                <w:rFonts w:ascii="仿宋" w:eastAsia="仿宋" w:hAnsi="仿宋" w:cs="仿宋_GB2312" w:hint="eastAsia"/>
                <w:sz w:val="24"/>
                <w:lang w:val="zh-CN"/>
              </w:rPr>
              <w:t>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B20C85">
        <w:rPr>
          <w:rFonts w:ascii="楷体_GB2312" w:eastAsia="楷体_GB2312" w:cs="楷体_GB2312" w:hint="eastAsia"/>
          <w:sz w:val="28"/>
          <w:szCs w:val="28"/>
          <w:lang w:val="zh-CN"/>
        </w:rPr>
        <w:t>2018年1月7日至2019年1月13日</w:t>
      </w:r>
      <w:r>
        <w:rPr>
          <w:rFonts w:ascii="楷体_GB2312" w:eastAsia="楷体_GB2312" w:cs="楷体_GB2312" w:hint="eastAsia"/>
          <w:sz w:val="28"/>
          <w:szCs w:val="28"/>
          <w:lang w:val="zh-CN"/>
        </w:rPr>
        <w:t>）</w:t>
      </w:r>
    </w:p>
    <w:tbl>
      <w:tblPr>
        <w:tblW w:w="8568" w:type="dxa"/>
        <w:jc w:val="center"/>
        <w:tblLayout w:type="fixed"/>
        <w:tblLook w:val="000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C7" w:rsidRDefault="00A97DC7" w:rsidP="00495E8E">
      <w:r>
        <w:separator/>
      </w:r>
    </w:p>
  </w:endnote>
  <w:endnote w:type="continuationSeparator" w:id="0">
    <w:p w:rsidR="00A97DC7" w:rsidRDefault="00A97DC7" w:rsidP="00495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C7" w:rsidRDefault="00A97DC7" w:rsidP="00495E8E">
      <w:r>
        <w:separator/>
      </w:r>
    </w:p>
  </w:footnote>
  <w:footnote w:type="continuationSeparator" w:id="0">
    <w:p w:rsidR="00A97DC7" w:rsidRDefault="00A97DC7" w:rsidP="00495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32D8E"/>
    <w:rsid w:val="00132F91"/>
    <w:rsid w:val="001336AE"/>
    <w:rsid w:val="00133F0F"/>
    <w:rsid w:val="0013439E"/>
    <w:rsid w:val="0013508C"/>
    <w:rsid w:val="00135BB0"/>
    <w:rsid w:val="00135BFA"/>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1BDC"/>
    <w:rsid w:val="00285ED7"/>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22547"/>
    <w:rsid w:val="00322E08"/>
    <w:rsid w:val="00322E5C"/>
    <w:rsid w:val="00323867"/>
    <w:rsid w:val="0032404A"/>
    <w:rsid w:val="00325191"/>
    <w:rsid w:val="00325984"/>
    <w:rsid w:val="003269FA"/>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A54"/>
    <w:rsid w:val="003A017A"/>
    <w:rsid w:val="003A2572"/>
    <w:rsid w:val="003A2AB2"/>
    <w:rsid w:val="003A3A87"/>
    <w:rsid w:val="003A42B1"/>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46BF"/>
    <w:rsid w:val="003D4979"/>
    <w:rsid w:val="003E0430"/>
    <w:rsid w:val="003E0F8D"/>
    <w:rsid w:val="003E18EC"/>
    <w:rsid w:val="003E382E"/>
    <w:rsid w:val="003E5C75"/>
    <w:rsid w:val="003E6273"/>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54CF"/>
    <w:rsid w:val="004D592F"/>
    <w:rsid w:val="004D7735"/>
    <w:rsid w:val="004E16C3"/>
    <w:rsid w:val="004E1AD3"/>
    <w:rsid w:val="004E288D"/>
    <w:rsid w:val="004F0CF0"/>
    <w:rsid w:val="004F12F6"/>
    <w:rsid w:val="004F27BD"/>
    <w:rsid w:val="004F411C"/>
    <w:rsid w:val="004F4F12"/>
    <w:rsid w:val="004F5FFF"/>
    <w:rsid w:val="004F6055"/>
    <w:rsid w:val="004F713C"/>
    <w:rsid w:val="004F76C2"/>
    <w:rsid w:val="00501D44"/>
    <w:rsid w:val="005027DA"/>
    <w:rsid w:val="00506BB3"/>
    <w:rsid w:val="00507146"/>
    <w:rsid w:val="00507811"/>
    <w:rsid w:val="00510EAB"/>
    <w:rsid w:val="0051123A"/>
    <w:rsid w:val="00516AFC"/>
    <w:rsid w:val="00517255"/>
    <w:rsid w:val="00520092"/>
    <w:rsid w:val="00522E82"/>
    <w:rsid w:val="00523DC6"/>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5D1B"/>
    <w:rsid w:val="005C6A79"/>
    <w:rsid w:val="005D01E9"/>
    <w:rsid w:val="005D2BE8"/>
    <w:rsid w:val="005D75AC"/>
    <w:rsid w:val="005D7BED"/>
    <w:rsid w:val="005D7EAE"/>
    <w:rsid w:val="005E02A3"/>
    <w:rsid w:val="005E1B4B"/>
    <w:rsid w:val="005F0E09"/>
    <w:rsid w:val="005F0ECB"/>
    <w:rsid w:val="005F4036"/>
    <w:rsid w:val="005F5885"/>
    <w:rsid w:val="005F722E"/>
    <w:rsid w:val="006051CF"/>
    <w:rsid w:val="00612291"/>
    <w:rsid w:val="00612EB3"/>
    <w:rsid w:val="006132E7"/>
    <w:rsid w:val="00613330"/>
    <w:rsid w:val="0061495D"/>
    <w:rsid w:val="00614EBF"/>
    <w:rsid w:val="006165DE"/>
    <w:rsid w:val="006174B2"/>
    <w:rsid w:val="0062284C"/>
    <w:rsid w:val="00624063"/>
    <w:rsid w:val="00624BB1"/>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61B25"/>
    <w:rsid w:val="006640B2"/>
    <w:rsid w:val="006668B2"/>
    <w:rsid w:val="0067032B"/>
    <w:rsid w:val="006743B8"/>
    <w:rsid w:val="00685529"/>
    <w:rsid w:val="00685BAD"/>
    <w:rsid w:val="00685ED3"/>
    <w:rsid w:val="006863A7"/>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F0C6B"/>
    <w:rsid w:val="006F1726"/>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06AB"/>
    <w:rsid w:val="00722851"/>
    <w:rsid w:val="00724901"/>
    <w:rsid w:val="00724ED4"/>
    <w:rsid w:val="00724F59"/>
    <w:rsid w:val="007261A7"/>
    <w:rsid w:val="00731330"/>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3659"/>
    <w:rsid w:val="0093574B"/>
    <w:rsid w:val="00935F23"/>
    <w:rsid w:val="00936691"/>
    <w:rsid w:val="00937435"/>
    <w:rsid w:val="009412E7"/>
    <w:rsid w:val="00941A0C"/>
    <w:rsid w:val="00941CDB"/>
    <w:rsid w:val="0094301F"/>
    <w:rsid w:val="00943ACD"/>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5FF8"/>
    <w:rsid w:val="00986D59"/>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97DC7"/>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C85"/>
    <w:rsid w:val="00B20F6D"/>
    <w:rsid w:val="00B262C6"/>
    <w:rsid w:val="00B26B83"/>
    <w:rsid w:val="00B27B83"/>
    <w:rsid w:val="00B30BB4"/>
    <w:rsid w:val="00B30CFB"/>
    <w:rsid w:val="00B3121E"/>
    <w:rsid w:val="00B3160E"/>
    <w:rsid w:val="00B339D6"/>
    <w:rsid w:val="00B40787"/>
    <w:rsid w:val="00B42288"/>
    <w:rsid w:val="00B45222"/>
    <w:rsid w:val="00B47CFD"/>
    <w:rsid w:val="00B53B30"/>
    <w:rsid w:val="00B53E55"/>
    <w:rsid w:val="00B5470B"/>
    <w:rsid w:val="00B54CAF"/>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6599A"/>
    <w:rsid w:val="00C70902"/>
    <w:rsid w:val="00C709DD"/>
    <w:rsid w:val="00C715D9"/>
    <w:rsid w:val="00C72BF9"/>
    <w:rsid w:val="00C72E07"/>
    <w:rsid w:val="00C8047F"/>
    <w:rsid w:val="00C81D43"/>
    <w:rsid w:val="00C825EF"/>
    <w:rsid w:val="00C82A3B"/>
    <w:rsid w:val="00C83AD2"/>
    <w:rsid w:val="00C83AF7"/>
    <w:rsid w:val="00C84227"/>
    <w:rsid w:val="00C85D30"/>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2040A"/>
    <w:rsid w:val="00E2233D"/>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9E9"/>
    <w:rsid w:val="00E73A96"/>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D63"/>
    <w:rsid w:val="00F0008C"/>
    <w:rsid w:val="00F044AA"/>
    <w:rsid w:val="00F05BD2"/>
    <w:rsid w:val="00F112A4"/>
    <w:rsid w:val="00F11AD5"/>
    <w:rsid w:val="00F1396A"/>
    <w:rsid w:val="00F1420B"/>
    <w:rsid w:val="00F1488A"/>
    <w:rsid w:val="00F14A83"/>
    <w:rsid w:val="00F15648"/>
    <w:rsid w:val="00F1632D"/>
    <w:rsid w:val="00F17870"/>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r="http://schemas.openxmlformats.org/officeDocument/2006/relationships" xmlns:w="http://schemas.openxmlformats.org/wordprocessingml/2006/main">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23FE-D852-4439-AB40-4B905337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9</Pages>
  <Words>433</Words>
  <Characters>2469</Characters>
  <Application>Microsoft Office Word</Application>
  <DocSecurity>0</DocSecurity>
  <Lines>20</Lines>
  <Paragraphs>5</Paragraphs>
  <ScaleCrop>false</ScaleCrop>
  <Company>China</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hp</cp:lastModifiedBy>
  <cp:revision>52</cp:revision>
  <dcterms:created xsi:type="dcterms:W3CDTF">2018-05-14T02:11:00Z</dcterms:created>
  <dcterms:modified xsi:type="dcterms:W3CDTF">2019-01-18T06:22:00Z</dcterms:modified>
</cp:coreProperties>
</file>